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b/>
          <w:bCs/>
          <w:sz w:val="24"/>
          <w:szCs w:val="24"/>
        </w:rPr>
        <w:t>【事项名称】</w:t>
      </w:r>
      <w:r w:rsidRPr="00D04B84">
        <w:rPr>
          <w:rFonts w:ascii="宋体" w:eastAsia="宋体" w:hAnsi="宋体" w:cs="Times New Roman" w:hint="eastAsia"/>
          <w:sz w:val="24"/>
          <w:szCs w:val="24"/>
        </w:rPr>
        <w:t>非居民合同项目备案</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b/>
          <w:bCs/>
          <w:sz w:val="24"/>
          <w:szCs w:val="24"/>
        </w:rPr>
        <w:t>【事项描述】</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境内机构和个人向非居民发包工程或接受劳务的，应在签订有关合同后30日内，向主管税务机关办理合同备案或劳务项目报告。</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境内机构和个人发包工程作业或劳务项目变更的，应于项目合同变更之日起10日内，向主管税务机关办理变更报告。</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境内机构和个人支付发包工程作业或劳务项目合同款项的，应于取得发票和其他付款凭证之日起30内办理支付情况报告。</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b/>
          <w:bCs/>
          <w:sz w:val="24"/>
          <w:szCs w:val="24"/>
        </w:rPr>
        <w:t>【报送资料】</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1．办理合同备案或劳务项目报告，应报送：</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1213"/>
        <w:gridCol w:w="2862"/>
        <w:gridCol w:w="1214"/>
        <w:gridCol w:w="81"/>
        <w:gridCol w:w="1681"/>
      </w:tblGrid>
      <w:tr w:rsidR="00D04B84" w:rsidRPr="00D04B84" w:rsidTr="00D04B84">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序号</w:t>
            </w:r>
          </w:p>
        </w:tc>
        <w:tc>
          <w:tcPr>
            <w:tcW w:w="4075" w:type="dxa"/>
            <w:gridSpan w:val="2"/>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材料名称</w:t>
            </w:r>
          </w:p>
        </w:tc>
        <w:tc>
          <w:tcPr>
            <w:tcW w:w="1295" w:type="dxa"/>
            <w:gridSpan w:val="2"/>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备注</w:t>
            </w:r>
          </w:p>
        </w:tc>
      </w:tr>
      <w:tr w:rsidR="00D04B84" w:rsidRPr="00D04B84" w:rsidTr="00D04B84">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1</w:t>
            </w:r>
          </w:p>
        </w:tc>
        <w:tc>
          <w:tcPr>
            <w:tcW w:w="4075" w:type="dxa"/>
            <w:gridSpan w:val="2"/>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《境内机构和个人发包工程作业或劳务项目报告表》</w:t>
            </w:r>
          </w:p>
        </w:tc>
        <w:tc>
          <w:tcPr>
            <w:tcW w:w="1295" w:type="dxa"/>
            <w:gridSpan w:val="2"/>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exac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tc>
      </w:tr>
      <w:tr w:rsidR="00D04B84" w:rsidRPr="00D04B84" w:rsidTr="00D04B84">
        <w:trPr>
          <w:trHeight w:val="1428"/>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2</w:t>
            </w:r>
          </w:p>
        </w:tc>
        <w:tc>
          <w:tcPr>
            <w:tcW w:w="4075" w:type="dxa"/>
            <w:gridSpan w:val="2"/>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项目合同</w:t>
            </w:r>
          </w:p>
        </w:tc>
        <w:tc>
          <w:tcPr>
            <w:tcW w:w="1295" w:type="dxa"/>
            <w:gridSpan w:val="2"/>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文本为外文的，同时附送中文译本，下同</w:t>
            </w:r>
          </w:p>
        </w:tc>
      </w:tr>
      <w:tr w:rsidR="00D04B84" w:rsidRPr="00D04B84" w:rsidTr="00D04B84">
        <w:trPr>
          <w:trHeight w:val="641"/>
          <w:jc w:val="center"/>
        </w:trPr>
        <w:tc>
          <w:tcPr>
            <w:tcW w:w="7933" w:type="dxa"/>
            <w:gridSpan w:val="6"/>
            <w:tcBorders>
              <w:top w:val="single" w:sz="4" w:space="0" w:color="auto"/>
              <w:left w:val="single" w:sz="4" w:space="0" w:color="auto"/>
              <w:bottom w:val="single" w:sz="4" w:space="0" w:color="auto"/>
              <w:right w:val="single" w:sz="4" w:space="0" w:color="auto"/>
            </w:tcBorders>
            <w:shd w:val="clear" w:color="auto" w:fill="D8D8D8"/>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以下为条件报送资料</w:t>
            </w:r>
          </w:p>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tc>
      </w:tr>
      <w:tr w:rsidR="00D04B84" w:rsidRPr="00D04B84" w:rsidTr="00D04B84">
        <w:trPr>
          <w:trHeight w:val="1255"/>
          <w:jc w:val="center"/>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非居民委托境内代理人履行纳税义务的提交</w:t>
            </w:r>
          </w:p>
        </w:tc>
        <w:tc>
          <w:tcPr>
            <w:tcW w:w="2862"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税务代理委托书复印件</w:t>
            </w:r>
          </w:p>
        </w:tc>
        <w:tc>
          <w:tcPr>
            <w:tcW w:w="1214"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762" w:type="dxa"/>
            <w:gridSpan w:val="2"/>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tc>
      </w:tr>
      <w:tr w:rsidR="00D04B84" w:rsidRPr="00D04B84" w:rsidTr="00D04B84">
        <w:trPr>
          <w:trHeight w:val="1255"/>
          <w:jc w:val="center"/>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lastRenderedPageBreak/>
              <w:t>非居民对有关事项做出书面说明的提交</w:t>
            </w:r>
          </w:p>
        </w:tc>
        <w:tc>
          <w:tcPr>
            <w:tcW w:w="2862"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非居民对有关事项的书面说明</w:t>
            </w:r>
          </w:p>
        </w:tc>
        <w:tc>
          <w:tcPr>
            <w:tcW w:w="1214"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762" w:type="dxa"/>
            <w:gridSpan w:val="2"/>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tc>
      </w:tr>
    </w:tbl>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13"/>
          <w:szCs w:val="13"/>
        </w:rPr>
        <w:t xml:space="preserve"> </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方正书宋简体" w:eastAsia="方正书宋简体" w:hAnsi="宋体" w:cs="Times New Roman" w:hint="eastAsia"/>
          <w:sz w:val="24"/>
          <w:szCs w:val="24"/>
        </w:rPr>
        <w:t>2．办理变更报告，应报送：</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5"/>
        <w:gridCol w:w="2862"/>
        <w:gridCol w:w="1214"/>
        <w:gridCol w:w="1762"/>
      </w:tblGrid>
      <w:tr w:rsidR="00D04B84" w:rsidRPr="00D04B84" w:rsidTr="00D04B84">
        <w:trPr>
          <w:trHeight w:val="1255"/>
          <w:jc w:val="center"/>
        </w:trPr>
        <w:tc>
          <w:tcPr>
            <w:tcW w:w="20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序号</w:t>
            </w:r>
          </w:p>
        </w:tc>
        <w:tc>
          <w:tcPr>
            <w:tcW w:w="2862" w:type="dxa"/>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材料名称</w:t>
            </w:r>
          </w:p>
        </w:tc>
        <w:tc>
          <w:tcPr>
            <w:tcW w:w="1214" w:type="dxa"/>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数量</w:t>
            </w:r>
          </w:p>
        </w:tc>
        <w:tc>
          <w:tcPr>
            <w:tcW w:w="1762" w:type="dxa"/>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备注</w:t>
            </w:r>
          </w:p>
        </w:tc>
      </w:tr>
      <w:tr w:rsidR="00D04B84" w:rsidRPr="00D04B84" w:rsidTr="00D04B84">
        <w:trPr>
          <w:trHeight w:val="1255"/>
          <w:jc w:val="center"/>
        </w:trPr>
        <w:tc>
          <w:tcPr>
            <w:tcW w:w="2095" w:type="dxa"/>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1</w:t>
            </w:r>
          </w:p>
        </w:tc>
        <w:tc>
          <w:tcPr>
            <w:tcW w:w="2862"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《非居民项目合同变更情况报告表》</w:t>
            </w:r>
          </w:p>
        </w:tc>
        <w:tc>
          <w:tcPr>
            <w:tcW w:w="1214"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762"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tc>
      </w:tr>
      <w:tr w:rsidR="00D04B84" w:rsidRPr="00D04B84" w:rsidTr="00D04B84">
        <w:trPr>
          <w:trHeight w:val="1347"/>
          <w:jc w:val="center"/>
        </w:trPr>
        <w:tc>
          <w:tcPr>
            <w:tcW w:w="2095" w:type="dxa"/>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2</w:t>
            </w:r>
          </w:p>
        </w:tc>
        <w:tc>
          <w:tcPr>
            <w:tcW w:w="2862"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变更后的合同</w:t>
            </w:r>
          </w:p>
        </w:tc>
        <w:tc>
          <w:tcPr>
            <w:tcW w:w="1214"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762"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文本为外文的，同时附送中文译本</w:t>
            </w:r>
          </w:p>
        </w:tc>
      </w:tr>
    </w:tbl>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方正书宋简体" w:eastAsia="方正书宋简体" w:hAnsi="宋体" w:cs="Times New Roman" w:hint="eastAsia"/>
          <w:sz w:val="24"/>
          <w:szCs w:val="24"/>
        </w:rPr>
        <w:t xml:space="preserve"> </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方正书宋简体" w:eastAsia="方正书宋简体" w:hAnsi="宋体" w:cs="Times New Roman" w:hint="eastAsia"/>
          <w:sz w:val="24"/>
          <w:szCs w:val="24"/>
        </w:rPr>
        <w:t>3．办理支付情况报告，应报送：</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681"/>
      </w:tblGrid>
      <w:tr w:rsidR="00D04B84" w:rsidRPr="00D04B84" w:rsidTr="00D04B84">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备注</w:t>
            </w:r>
          </w:p>
        </w:tc>
      </w:tr>
      <w:tr w:rsidR="00D04B84" w:rsidRPr="00D04B84" w:rsidTr="00D04B84">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《非居民项目合同款项支付情况报告表》</w:t>
            </w:r>
          </w:p>
        </w:tc>
        <w:tc>
          <w:tcPr>
            <w:tcW w:w="1295"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exact"/>
              <w:jc w:val="left"/>
              <w:rPr>
                <w:rFonts w:ascii="宋体" w:eastAsia="宋体" w:hAnsi="宋体" w:cs="宋体"/>
                <w:kern w:val="0"/>
                <w:sz w:val="24"/>
                <w:szCs w:val="24"/>
              </w:rPr>
            </w:pPr>
            <w:r w:rsidRPr="00D04B84">
              <w:rPr>
                <w:rFonts w:ascii="宋体" w:eastAsia="宋体" w:hAnsi="宋体" w:cs="宋体" w:hint="eastAsia"/>
                <w:kern w:val="24"/>
                <w:sz w:val="18"/>
                <w:szCs w:val="18"/>
              </w:rPr>
              <w:t> </w:t>
            </w:r>
          </w:p>
        </w:tc>
      </w:tr>
      <w:tr w:rsidR="00D04B84" w:rsidRPr="00D04B84" w:rsidTr="00D04B84">
        <w:trPr>
          <w:trHeight w:val="1428"/>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Times New Roman" w:hint="eastAsia"/>
                <w:kern w:val="24"/>
                <w:sz w:val="18"/>
                <w:szCs w:val="18"/>
              </w:rPr>
              <w:t>2</w:t>
            </w:r>
          </w:p>
        </w:tc>
        <w:tc>
          <w:tcPr>
            <w:tcW w:w="4075"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付款凭证复印件</w:t>
            </w:r>
          </w:p>
        </w:tc>
        <w:tc>
          <w:tcPr>
            <w:tcW w:w="1295"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center"/>
              <w:rPr>
                <w:rFonts w:ascii="宋体" w:eastAsia="宋体" w:hAnsi="宋体" w:cs="宋体"/>
                <w:kern w:val="0"/>
                <w:sz w:val="24"/>
                <w:szCs w:val="24"/>
              </w:rPr>
            </w:pPr>
            <w:r w:rsidRPr="00D04B84">
              <w:rPr>
                <w:rFonts w:ascii="黑体" w:eastAsia="黑体" w:hAnsi="黑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D04B84" w:rsidRPr="00D04B84" w:rsidRDefault="00D04B84" w:rsidP="00D04B84">
            <w:pPr>
              <w:widowControl/>
              <w:spacing w:line="75" w:lineRule="atLeast"/>
              <w:jc w:val="left"/>
              <w:rPr>
                <w:rFonts w:ascii="宋体" w:eastAsia="宋体" w:hAnsi="宋体" w:cs="宋体"/>
                <w:kern w:val="0"/>
                <w:sz w:val="24"/>
                <w:szCs w:val="24"/>
              </w:rPr>
            </w:pPr>
            <w:r w:rsidRPr="00D04B84">
              <w:rPr>
                <w:rFonts w:ascii="黑体" w:eastAsia="黑体" w:hAnsi="黑体" w:cs="Microsoft Himalaya" w:hint="eastAsia"/>
                <w:kern w:val="24"/>
                <w:sz w:val="18"/>
                <w:szCs w:val="18"/>
              </w:rPr>
              <w:t xml:space="preserve">文本为外文的，同时附送中文译本 </w:t>
            </w:r>
          </w:p>
        </w:tc>
      </w:tr>
    </w:tbl>
    <w:p w:rsidR="00D04B84" w:rsidRPr="00D04B84" w:rsidRDefault="00D04B84" w:rsidP="00D04B84">
      <w:pPr>
        <w:widowControl/>
        <w:shd w:val="clear" w:color="auto" w:fill="FFFFFF"/>
        <w:spacing w:line="75" w:lineRule="atLeast"/>
        <w:jc w:val="center"/>
        <w:rPr>
          <w:rFonts w:ascii="宋体" w:eastAsia="宋体" w:hAnsi="宋体" w:cs="宋体"/>
          <w:kern w:val="0"/>
          <w:sz w:val="24"/>
          <w:szCs w:val="24"/>
        </w:rPr>
      </w:pPr>
      <w:r w:rsidRPr="00D04B84">
        <w:rPr>
          <w:rFonts w:ascii="仿宋" w:eastAsia="仿宋" w:hAnsi="仿宋" w:cs="Times New Roman" w:hint="eastAsia"/>
          <w:kern w:val="24"/>
          <w:sz w:val="18"/>
          <w:szCs w:val="18"/>
        </w:rPr>
        <w:t xml:space="preserve"> </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b/>
          <w:bCs/>
          <w:sz w:val="24"/>
          <w:szCs w:val="24"/>
        </w:rPr>
        <w:t>【办理渠道】</w:t>
      </w:r>
    </w:p>
    <w:p w:rsidR="00D04B84" w:rsidRPr="00D04B84" w:rsidRDefault="00D04B84" w:rsidP="00D04B84">
      <w:pPr>
        <w:widowControl/>
        <w:shd w:val="clear" w:color="auto" w:fill="FFFFFF"/>
        <w:spacing w:line="75" w:lineRule="atLeast"/>
        <w:ind w:firstLineChars="200" w:firstLine="360"/>
        <w:jc w:val="left"/>
        <w:rPr>
          <w:rFonts w:ascii="宋体" w:eastAsia="宋体" w:hAnsi="宋体" w:cs="宋体"/>
          <w:kern w:val="0"/>
          <w:sz w:val="24"/>
          <w:szCs w:val="24"/>
        </w:rPr>
      </w:pPr>
      <w:r w:rsidRPr="00D04B84">
        <w:rPr>
          <w:rFonts w:ascii="宋体" w:eastAsia="宋体" w:hAnsi="宋体" w:cs="Times New Roman" w:hint="eastAsia"/>
          <w:kern w:val="24"/>
          <w:sz w:val="18"/>
          <w:szCs w:val="18"/>
        </w:rPr>
        <w:lastRenderedPageBreak/>
        <w:t>主管税务机关办税服务厅。</w:t>
      </w:r>
    </w:p>
    <w:p w:rsidR="00D04B84" w:rsidRPr="00D04B84" w:rsidRDefault="00D04B84" w:rsidP="00D04B84">
      <w:pPr>
        <w:shd w:val="clear" w:color="auto" w:fill="FFFFFF"/>
        <w:spacing w:line="75" w:lineRule="atLeast"/>
        <w:ind w:firstLineChars="200" w:firstLine="361"/>
        <w:rPr>
          <w:rFonts w:ascii="宋体" w:eastAsia="宋体" w:hAnsi="宋体" w:cs="宋体"/>
          <w:kern w:val="0"/>
          <w:sz w:val="24"/>
          <w:szCs w:val="24"/>
        </w:rPr>
      </w:pPr>
      <w:r w:rsidRPr="00D04B84">
        <w:rPr>
          <w:rFonts w:ascii="宋体" w:eastAsia="宋体" w:hAnsi="宋体" w:cs="宋体" w:hint="eastAsia"/>
          <w:b/>
          <w:bCs/>
          <w:sz w:val="18"/>
          <w:szCs w:val="18"/>
        </w:rPr>
        <w:t>【办理流程】</w:t>
      </w:r>
    </w:p>
    <w:p w:rsidR="00D04B84" w:rsidRPr="00D04B84" w:rsidRDefault="00D04B84" w:rsidP="00D04B84">
      <w:pPr>
        <w:widowControl/>
        <w:shd w:val="clear" w:color="auto" w:fill="FFFFFF"/>
        <w:spacing w:line="75" w:lineRule="atLeast"/>
        <w:ind w:firstLineChars="200" w:firstLine="360"/>
        <w:jc w:val="left"/>
        <w:rPr>
          <w:rFonts w:ascii="宋体" w:eastAsia="宋体" w:hAnsi="宋体" w:cs="宋体"/>
          <w:kern w:val="0"/>
          <w:sz w:val="24"/>
          <w:szCs w:val="24"/>
        </w:rPr>
      </w:pPr>
      <w:r w:rsidRPr="00D04B84">
        <w:rPr>
          <w:rFonts w:ascii="等线" w:eastAsia="等线" w:hAnsi="等线" w:cs="宋体" w:hint="eastAsia"/>
          <w:kern w:val="24"/>
          <w:sz w:val="18"/>
          <w:szCs w:val="18"/>
          <w:shd w:val="clear" w:color="auto" w:fill="FFFFFF"/>
        </w:rPr>
        <w:t xml:space="preserve"> </w:t>
      </w:r>
      <w:r>
        <w:rPr>
          <w:rFonts w:ascii="等线" w:eastAsia="等线" w:hAnsi="等线" w:cs="宋体"/>
          <w:noProof/>
          <w:kern w:val="24"/>
          <w:sz w:val="18"/>
          <w:szCs w:val="18"/>
          <w:shd w:val="clear" w:color="auto" w:fill="FFFFFF"/>
        </w:rPr>
        <w:drawing>
          <wp:inline distT="0" distB="0" distL="0" distR="0">
            <wp:extent cx="3933825" cy="2276475"/>
            <wp:effectExtent l="19050" t="0" r="9525" b="0"/>
            <wp:docPr id="1" name="图片 1" descr="https://etax.guangxi.chinatax.gov.cn:9727/web/uploadfile/editor/15679052256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5225630.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D04B84" w:rsidRPr="00D04B84" w:rsidRDefault="00D04B84" w:rsidP="00D04B84">
      <w:pPr>
        <w:widowControl/>
        <w:shd w:val="clear" w:color="auto" w:fill="FFFFFF"/>
        <w:spacing w:line="75" w:lineRule="atLeast"/>
        <w:ind w:leftChars="228" w:left="479"/>
        <w:jc w:val="left"/>
        <w:rPr>
          <w:rFonts w:ascii="宋体" w:eastAsia="宋体" w:hAnsi="宋体" w:cs="宋体"/>
          <w:kern w:val="0"/>
          <w:sz w:val="24"/>
          <w:szCs w:val="24"/>
        </w:rPr>
      </w:pPr>
      <w:r w:rsidRPr="00D04B84">
        <w:rPr>
          <w:rFonts w:ascii="宋体" w:eastAsia="宋体" w:hAnsi="宋体" w:cs="宋体" w:hint="eastAsia"/>
          <w:b/>
          <w:bCs/>
          <w:kern w:val="24"/>
          <w:sz w:val="18"/>
          <w:szCs w:val="18"/>
        </w:rPr>
        <w:t xml:space="preserve">【办理时间】 </w:t>
      </w:r>
    </w:p>
    <w:p w:rsidR="00D04B84" w:rsidRPr="00D04B84" w:rsidRDefault="00D04B84" w:rsidP="00D04B84">
      <w:pPr>
        <w:widowControl/>
        <w:shd w:val="clear" w:color="auto" w:fill="FFFFFF"/>
        <w:spacing w:line="75" w:lineRule="atLeast"/>
        <w:ind w:firstLineChars="200" w:firstLine="360"/>
        <w:jc w:val="left"/>
        <w:rPr>
          <w:rFonts w:ascii="宋体" w:eastAsia="宋体" w:hAnsi="宋体" w:cs="宋体"/>
          <w:kern w:val="0"/>
          <w:sz w:val="24"/>
          <w:szCs w:val="24"/>
        </w:rPr>
      </w:pPr>
      <w:r w:rsidRPr="00D04B84">
        <w:rPr>
          <w:rFonts w:ascii="宋体" w:eastAsia="宋体" w:hAnsi="宋体" w:cs="宋体" w:hint="eastAsia"/>
          <w:kern w:val="0"/>
          <w:sz w:val="18"/>
          <w:szCs w:val="18"/>
        </w:rPr>
        <w:t>工作时间，具体可在国家税务总局广西壮族自治区税务局门户网站查询，或拨打12366查询。</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b/>
          <w:bCs/>
          <w:sz w:val="24"/>
          <w:szCs w:val="24"/>
        </w:rPr>
        <w:t>【办理时限】</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资料齐全、符合法定形式、填写内容完整的，税务机关受理后即时办结。</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b/>
          <w:bCs/>
          <w:sz w:val="24"/>
          <w:szCs w:val="24"/>
        </w:rPr>
        <w:t>【办理结果】</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税务机关反馈《境内机构和个人发包工程作业或劳务项目报告表》、《非居民项目合同变更情况报告表》、《非居民项目合同款项支付情况报告表》。</w:t>
      </w:r>
    </w:p>
    <w:p w:rsidR="00D04B84" w:rsidRPr="00D04B84" w:rsidRDefault="00D04B84" w:rsidP="00D04B84">
      <w:pPr>
        <w:widowControl/>
        <w:shd w:val="clear" w:color="auto" w:fill="FFFFFF"/>
        <w:spacing w:line="75" w:lineRule="atLeast"/>
        <w:ind w:firstLineChars="200" w:firstLine="361"/>
        <w:jc w:val="left"/>
        <w:rPr>
          <w:rFonts w:ascii="宋体" w:eastAsia="宋体" w:hAnsi="宋体" w:cs="宋体"/>
          <w:kern w:val="0"/>
          <w:sz w:val="24"/>
          <w:szCs w:val="24"/>
        </w:rPr>
      </w:pPr>
      <w:r w:rsidRPr="00D04B84">
        <w:rPr>
          <w:rFonts w:ascii="宋体" w:eastAsia="宋体" w:hAnsi="宋体" w:cs="宋体" w:hint="eastAsia"/>
          <w:b/>
          <w:bCs/>
          <w:kern w:val="24"/>
          <w:sz w:val="18"/>
          <w:szCs w:val="18"/>
        </w:rPr>
        <w:t>【联系电话】</w:t>
      </w:r>
    </w:p>
    <w:p w:rsidR="00D04B84" w:rsidRPr="00D04B84" w:rsidRDefault="00D04B84" w:rsidP="00D04B84">
      <w:pPr>
        <w:widowControl/>
        <w:shd w:val="clear" w:color="auto" w:fill="FFFFFF"/>
        <w:spacing w:line="75" w:lineRule="atLeast"/>
        <w:ind w:firstLineChars="200" w:firstLine="360"/>
        <w:jc w:val="left"/>
        <w:rPr>
          <w:rFonts w:ascii="宋体" w:eastAsia="宋体" w:hAnsi="宋体" w:cs="宋体"/>
          <w:kern w:val="0"/>
          <w:sz w:val="24"/>
          <w:szCs w:val="24"/>
        </w:rPr>
      </w:pPr>
      <w:r w:rsidRPr="00D04B84">
        <w:rPr>
          <w:rFonts w:ascii="宋体" w:eastAsia="宋体" w:hAnsi="宋体" w:cs="宋体" w:hint="eastAsia"/>
          <w:kern w:val="0"/>
          <w:sz w:val="18"/>
          <w:szCs w:val="18"/>
        </w:rPr>
        <w:t>联系电话可在国家税务总局广西壮族自治区税务局门户网站查询，或拨打12366查询。</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b/>
          <w:bCs/>
          <w:sz w:val="24"/>
          <w:szCs w:val="24"/>
        </w:rPr>
        <w:t>【纳税人注意事项】</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1．备案人对报送材料的真实性和合法性承担责任。</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2．境内机构和个人向非居民发包工程作业或劳务项目，被税务机关指定为扣缴义务人的，应按照规定办理扣缴税款报告（“代扣代缴、代收代缴报告”事项）。</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lastRenderedPageBreak/>
        <w:t>3．境内企业或个人向境外非居民支付款项时，单笔支付等值5万美元以上（不含等值5万美元）符合条件的，应按照规定办理服务贸易等项目对外支付税务备案（详见“服务贸易等项目对外支付税务备案”事项）。</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4. 办税服务厅地址、电子税务局网址，可在广西壮族自治区税务局门户网站或拨打12366查询。</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bookmarkStart w:id="0" w:name="falv"/>
      <w:r w:rsidRPr="00D04B84">
        <w:rPr>
          <w:rFonts w:ascii="宋体" w:eastAsia="宋体" w:hAnsi="宋体" w:cs="Times New Roman" w:hint="eastAsia"/>
          <w:b/>
          <w:bCs/>
          <w:sz w:val="24"/>
          <w:szCs w:val="24"/>
        </w:rPr>
        <w:t>【政策依据】</w:t>
      </w:r>
      <w:bookmarkEnd w:id="0"/>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1．《非居民承包工程作业和提供劳务税收管理暂行办法》（国家税务总局令第19号）</w:t>
      </w:r>
    </w:p>
    <w:p w:rsidR="00D04B84" w:rsidRPr="00D04B84" w:rsidRDefault="00D04B84" w:rsidP="00D04B84">
      <w:pPr>
        <w:widowControl/>
        <w:shd w:val="clear" w:color="auto" w:fill="FFFFFF"/>
        <w:spacing w:line="75" w:lineRule="atLeast"/>
        <w:ind w:firstLineChars="200" w:firstLine="360"/>
        <w:jc w:val="left"/>
        <w:rPr>
          <w:rFonts w:ascii="宋体" w:eastAsia="宋体" w:hAnsi="宋体" w:cs="宋体"/>
          <w:kern w:val="0"/>
          <w:sz w:val="24"/>
          <w:szCs w:val="24"/>
        </w:rPr>
      </w:pPr>
      <w:r w:rsidRPr="00D04B84">
        <w:rPr>
          <w:rFonts w:ascii="Times New Roman" w:eastAsia="宋体" w:hAnsi="Times New Roman" w:cs="Times New Roman" w:hint="eastAsia"/>
          <w:kern w:val="24"/>
          <w:sz w:val="18"/>
          <w:szCs w:val="18"/>
        </w:rPr>
        <w:t>2.</w:t>
      </w:r>
      <w:r w:rsidRPr="00D04B84">
        <w:rPr>
          <w:rFonts w:ascii="宋体" w:eastAsia="宋体" w:hAnsi="宋体" w:cs="Times New Roman" w:hint="eastAsia"/>
          <w:kern w:val="24"/>
          <w:sz w:val="18"/>
          <w:szCs w:val="18"/>
        </w:rPr>
        <w:t>《国家税务总局关于公布取消一批税务证明事项以及废止和修改部分规章规范性文件的决定》（税务总局令〔</w:t>
      </w:r>
      <w:r w:rsidRPr="00D04B84">
        <w:rPr>
          <w:rFonts w:ascii="Times New Roman" w:eastAsia="宋体" w:hAnsi="Times New Roman" w:cs="Times New Roman" w:hint="eastAsia"/>
          <w:kern w:val="24"/>
          <w:sz w:val="18"/>
          <w:szCs w:val="18"/>
        </w:rPr>
        <w:t>2019</w:t>
      </w:r>
      <w:r w:rsidRPr="00D04B84">
        <w:rPr>
          <w:rFonts w:ascii="宋体" w:eastAsia="宋体" w:hAnsi="宋体" w:cs="Times New Roman" w:hint="eastAsia"/>
          <w:kern w:val="24"/>
          <w:sz w:val="18"/>
          <w:szCs w:val="18"/>
        </w:rPr>
        <w:t>〕</w:t>
      </w:r>
      <w:r w:rsidRPr="00D04B84">
        <w:rPr>
          <w:rFonts w:ascii="Times New Roman" w:eastAsia="宋体" w:hAnsi="Times New Roman" w:cs="Times New Roman" w:hint="eastAsia"/>
          <w:kern w:val="24"/>
          <w:sz w:val="18"/>
          <w:szCs w:val="18"/>
        </w:rPr>
        <w:t>48</w:t>
      </w:r>
      <w:r w:rsidRPr="00D04B84">
        <w:rPr>
          <w:rFonts w:ascii="宋体" w:eastAsia="宋体" w:hAnsi="宋体" w:cs="Times New Roman" w:hint="eastAsia"/>
          <w:kern w:val="24"/>
          <w:sz w:val="18"/>
          <w:szCs w:val="18"/>
        </w:rPr>
        <w:t>号）</w:t>
      </w:r>
    </w:p>
    <w:p w:rsidR="00D04B84" w:rsidRPr="00D04B84" w:rsidRDefault="00D04B84" w:rsidP="00D04B84">
      <w:pPr>
        <w:widowControl/>
        <w:shd w:val="clear" w:color="auto" w:fill="FFFFFF"/>
        <w:spacing w:line="75" w:lineRule="atLeast"/>
        <w:ind w:firstLineChars="200" w:firstLine="361"/>
        <w:jc w:val="left"/>
        <w:rPr>
          <w:rFonts w:ascii="宋体" w:eastAsia="宋体" w:hAnsi="宋体" w:cs="宋体"/>
          <w:kern w:val="0"/>
          <w:sz w:val="24"/>
          <w:szCs w:val="24"/>
        </w:rPr>
      </w:pPr>
      <w:r w:rsidRPr="00D04B84">
        <w:rPr>
          <w:rFonts w:ascii="宋体" w:eastAsia="宋体" w:hAnsi="宋体" w:cs="宋体" w:hint="eastAsia"/>
          <w:b/>
          <w:bCs/>
          <w:kern w:val="24"/>
          <w:sz w:val="18"/>
          <w:szCs w:val="18"/>
        </w:rPr>
        <w:t>【收费标准】</w:t>
      </w:r>
    </w:p>
    <w:p w:rsidR="00D04B84" w:rsidRPr="00D04B84" w:rsidRDefault="00D04B84" w:rsidP="00D04B84">
      <w:pPr>
        <w:widowControl/>
        <w:shd w:val="clear" w:color="auto" w:fill="FFFFFF"/>
        <w:spacing w:line="75" w:lineRule="atLeast"/>
        <w:ind w:firstLineChars="200" w:firstLine="360"/>
        <w:jc w:val="left"/>
        <w:rPr>
          <w:rFonts w:ascii="宋体" w:eastAsia="宋体" w:hAnsi="宋体" w:cs="宋体"/>
          <w:kern w:val="0"/>
          <w:sz w:val="24"/>
          <w:szCs w:val="24"/>
        </w:rPr>
      </w:pPr>
      <w:r w:rsidRPr="00D04B84">
        <w:rPr>
          <w:rFonts w:ascii="宋体" w:eastAsia="宋体" w:hAnsi="宋体" w:cs="宋体" w:hint="eastAsia"/>
          <w:kern w:val="0"/>
          <w:sz w:val="18"/>
          <w:szCs w:val="18"/>
        </w:rPr>
        <w:t>无收费</w:t>
      </w:r>
    </w:p>
    <w:p w:rsidR="00D04B84" w:rsidRPr="00D04B84" w:rsidRDefault="00D04B84" w:rsidP="00D04B8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4B84">
        <w:rPr>
          <w:rFonts w:ascii="宋体" w:eastAsia="宋体" w:hAnsi="宋体" w:cs="Times New Roman" w:hint="eastAsia"/>
          <w:sz w:val="24"/>
          <w:szCs w:val="24"/>
        </w:rPr>
        <w:t xml:space="preserve"> </w:t>
      </w:r>
    </w:p>
    <w:p w:rsidR="00D04B84" w:rsidRPr="00D04B84" w:rsidRDefault="00D04B84" w:rsidP="00D04B84">
      <w:pPr>
        <w:widowControl/>
        <w:shd w:val="clear" w:color="auto" w:fill="FFFFFF"/>
        <w:spacing w:line="75" w:lineRule="atLeast"/>
        <w:jc w:val="left"/>
        <w:rPr>
          <w:rFonts w:ascii="宋体" w:eastAsia="宋体" w:hAnsi="宋体" w:cs="宋体"/>
          <w:kern w:val="0"/>
          <w:sz w:val="24"/>
          <w:szCs w:val="24"/>
        </w:rPr>
      </w:pPr>
      <w:r w:rsidRPr="00D04B84">
        <w:rPr>
          <w:rFonts w:ascii="Times New Roman" w:eastAsia="宋体" w:hAnsi="Times New Roman" w:cs="Times New Roman"/>
          <w:kern w:val="24"/>
          <w:sz w:val="18"/>
          <w:szCs w:val="18"/>
        </w:rPr>
        <w:t xml:space="preserve"> </w:t>
      </w:r>
    </w:p>
    <w:p w:rsidR="00676A29" w:rsidRDefault="00D04B84"/>
    <w:sectPr w:rsidR="00676A29" w:rsidSect="003B0EC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方正书宋简体">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04B84"/>
    <w:rsid w:val="00351409"/>
    <w:rsid w:val="003B0ECF"/>
    <w:rsid w:val="0069768C"/>
    <w:rsid w:val="00AA09A7"/>
    <w:rsid w:val="00CF69CA"/>
    <w:rsid w:val="00D04B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E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D04B84"/>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rsid w:val="00D04B84"/>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D04B84"/>
    <w:rPr>
      <w:sz w:val="18"/>
      <w:szCs w:val="18"/>
    </w:rPr>
  </w:style>
  <w:style w:type="character" w:customStyle="1" w:styleId="Char">
    <w:name w:val="批注框文本 Char"/>
    <w:basedOn w:val="a0"/>
    <w:link w:val="a3"/>
    <w:uiPriority w:val="99"/>
    <w:semiHidden/>
    <w:rsid w:val="00D04B84"/>
    <w:rPr>
      <w:sz w:val="18"/>
      <w:szCs w:val="18"/>
    </w:rPr>
  </w:style>
</w:styles>
</file>

<file path=word/webSettings.xml><?xml version="1.0" encoding="utf-8"?>
<w:webSettings xmlns:r="http://schemas.openxmlformats.org/officeDocument/2006/relationships" xmlns:w="http://schemas.openxmlformats.org/wordprocessingml/2006/main">
  <w:divs>
    <w:div w:id="1625891722">
      <w:bodyDiv w:val="1"/>
      <w:marLeft w:val="0"/>
      <w:marRight w:val="0"/>
      <w:marTop w:val="0"/>
      <w:marBottom w:val="0"/>
      <w:divBdr>
        <w:top w:val="none" w:sz="0" w:space="0" w:color="auto"/>
        <w:left w:val="none" w:sz="0" w:space="0" w:color="auto"/>
        <w:bottom w:val="none" w:sz="0" w:space="0" w:color="auto"/>
        <w:right w:val="none" w:sz="0" w:space="0" w:color="auto"/>
      </w:divBdr>
      <w:divsChild>
        <w:div w:id="337197089">
          <w:marLeft w:val="0"/>
          <w:marRight w:val="0"/>
          <w:marTop w:val="270"/>
          <w:marBottom w:val="240"/>
          <w:divBdr>
            <w:top w:val="single" w:sz="6" w:space="8" w:color="D8D8D6"/>
            <w:left w:val="single" w:sz="6" w:space="8" w:color="D8D8D6"/>
            <w:bottom w:val="single" w:sz="6" w:space="8" w:color="D8D8D6"/>
            <w:right w:val="single" w:sz="6" w:space="8" w:color="D8D8D6"/>
          </w:divBdr>
          <w:divsChild>
            <w:div w:id="2209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2019-09-30T03:28:00Z</dcterms:created>
  <dcterms:modified xsi:type="dcterms:W3CDTF">2019-09-30T03:28:00Z</dcterms:modified>
</cp:coreProperties>
</file>